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方正小标宋简体" w:eastAsia="方正小标宋简体" w:cs="方正小标宋简体"/>
        </w:rPr>
      </w:pPr>
    </w:p>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哈尔滨银行股份有限公司关于与哈银消金、哈银金租重大关联交易披露报告（2023.01-2023.02）</w:t>
      </w:r>
    </w:p>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根据《银行保险机构关联交易管理办法》（中国银行保险监督管理委员会令[</w:t>
      </w:r>
      <w:r>
        <w:rPr>
          <w:rFonts w:ascii="仿宋_GB2312" w:hAnsi="仿宋_GB2312" w:eastAsia="仿宋_GB2312" w:cs="仿宋_GB2312"/>
          <w:sz w:val="32"/>
          <w:szCs w:val="32"/>
        </w:rPr>
        <w:t>2022]1</w:t>
      </w:r>
      <w:r>
        <w:rPr>
          <w:rFonts w:hint="eastAsia" w:ascii="仿宋_GB2312" w:hAnsi="仿宋_GB2312" w:eastAsia="仿宋_GB2312" w:cs="仿宋_GB2312"/>
          <w:sz w:val="32"/>
          <w:szCs w:val="32"/>
        </w:rPr>
        <w:t>号）等有关规定，现将哈尔滨银行股份有限公司（以下简称“本公司”或“公司”）近期重大关联交易情况披露如下：</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黑体" w:hAnsi="黑体" w:eastAsia="黑体" w:cs="黑体"/>
          <w:sz w:val="32"/>
          <w:szCs w:val="32"/>
        </w:rPr>
      </w:pPr>
      <w:r>
        <w:rPr>
          <w:rFonts w:hint="eastAsia" w:ascii="黑体" w:hAnsi="黑体" w:eastAsia="黑体" w:cs="黑体"/>
          <w:sz w:val="32"/>
          <w:szCs w:val="32"/>
        </w:rPr>
        <w:t>一、关联交易概述及交易标的情况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（一）关联交易概述</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ascii="仿宋_GB2312" w:hAnsi="等线" w:eastAsia="仿宋_GB2312"/>
          <w:sz w:val="32"/>
          <w:szCs w:val="32"/>
        </w:rPr>
      </w:pPr>
      <w:r>
        <w:rPr>
          <w:rFonts w:hint="eastAsia" w:ascii="仿宋_GB2312" w:hAnsi="等线" w:eastAsia="仿宋_GB2312"/>
          <w:sz w:val="32"/>
          <w:szCs w:val="32"/>
        </w:rPr>
        <w:t>20</w:t>
      </w:r>
      <w:r>
        <w:rPr>
          <w:rFonts w:ascii="仿宋_GB2312" w:hAnsi="等线" w:eastAsia="仿宋_GB2312"/>
          <w:sz w:val="32"/>
          <w:szCs w:val="32"/>
        </w:rPr>
        <w:t>2</w:t>
      </w:r>
      <w:r>
        <w:rPr>
          <w:rFonts w:hint="eastAsia" w:ascii="仿宋_GB2312" w:hAnsi="等线" w:eastAsia="仿宋_GB2312"/>
          <w:sz w:val="32"/>
          <w:szCs w:val="32"/>
        </w:rPr>
        <w:t>3年</w:t>
      </w:r>
      <w:r>
        <w:rPr>
          <w:rFonts w:ascii="仿宋_GB2312" w:hAnsi="等线" w:eastAsia="仿宋_GB2312"/>
          <w:sz w:val="32"/>
          <w:szCs w:val="32"/>
        </w:rPr>
        <w:t>1</w:t>
      </w:r>
      <w:r>
        <w:rPr>
          <w:rFonts w:hint="eastAsia" w:ascii="仿宋_GB2312" w:hAnsi="等线" w:eastAsia="仿宋_GB2312"/>
          <w:sz w:val="32"/>
          <w:szCs w:val="32"/>
        </w:rPr>
        <w:t>月，本公司与</w:t>
      </w:r>
      <w:r>
        <w:rPr>
          <w:rFonts w:hint="eastAsia" w:ascii="仿宋_GB2312" w:hAnsi="仿宋_GB2312" w:eastAsia="仿宋_GB2312" w:cs="仿宋_GB2312"/>
          <w:sz w:val="32"/>
          <w:szCs w:val="32"/>
        </w:rPr>
        <w:t>哈尔滨哈银消费金融有限责任公司（以下简称“</w:t>
      </w:r>
      <w:r>
        <w:rPr>
          <w:rFonts w:hint="eastAsia" w:ascii="仿宋_GB2312" w:hAnsi="等线" w:eastAsia="仿宋_GB2312"/>
          <w:color w:val="000000"/>
          <w:sz w:val="32"/>
          <w:szCs w:val="32"/>
        </w:rPr>
        <w:t>哈银消金</w:t>
      </w:r>
      <w:r>
        <w:rPr>
          <w:rFonts w:hint="eastAsia" w:ascii="仿宋_GB2312" w:hAnsi="仿宋_GB2312" w:eastAsia="仿宋_GB2312" w:cs="仿宋_GB2312"/>
          <w:sz w:val="32"/>
          <w:szCs w:val="32"/>
        </w:rPr>
        <w:t>”）</w:t>
      </w:r>
      <w:r>
        <w:rPr>
          <w:rFonts w:hint="eastAsia" w:ascii="仿宋_GB2312" w:hAnsi="等线" w:eastAsia="仿宋_GB2312"/>
          <w:color w:val="000000"/>
          <w:sz w:val="32"/>
          <w:szCs w:val="32"/>
        </w:rPr>
        <w:t>发生授信类关联交易累计</w:t>
      </w:r>
      <w:r>
        <w:rPr>
          <w:rFonts w:ascii="仿宋_GB2312" w:hAnsi="等线" w:eastAsia="仿宋_GB2312"/>
          <w:color w:val="000000"/>
          <w:sz w:val="32"/>
          <w:szCs w:val="32"/>
        </w:rPr>
        <w:t>4</w:t>
      </w:r>
      <w:r>
        <w:rPr>
          <w:rFonts w:hint="eastAsia" w:ascii="仿宋_GB2312" w:hAnsi="等线" w:eastAsia="仿宋_GB2312"/>
          <w:color w:val="000000"/>
          <w:sz w:val="32"/>
          <w:szCs w:val="32"/>
        </w:rPr>
        <w:t>笔，金额</w:t>
      </w:r>
      <w:r>
        <w:rPr>
          <w:rFonts w:ascii="仿宋_GB2312" w:hAnsi="等线" w:eastAsia="仿宋_GB2312"/>
          <w:color w:val="000000"/>
          <w:sz w:val="32"/>
          <w:szCs w:val="32"/>
        </w:rPr>
        <w:t>10.5</w:t>
      </w:r>
      <w:r>
        <w:rPr>
          <w:rFonts w:hint="eastAsia" w:ascii="仿宋_GB2312" w:hAnsi="等线" w:eastAsia="仿宋_GB2312"/>
          <w:color w:val="000000"/>
          <w:sz w:val="32"/>
          <w:szCs w:val="32"/>
        </w:rPr>
        <w:t>亿元，发生业务种</w:t>
      </w:r>
      <w:r>
        <w:rPr>
          <w:rFonts w:hint="eastAsia" w:ascii="仿宋_GB2312" w:hAnsi="等线" w:eastAsia="仿宋_GB2312"/>
          <w:sz w:val="32"/>
          <w:szCs w:val="32"/>
        </w:rPr>
        <w:t>类为同业借款。截至2023年1月末，哈银消金在本公司授信业务用信余额63.5亿元，较年初下降4亿元,占本公司上季度末资本净额的10.58%。</w:t>
      </w:r>
    </w:p>
    <w:p>
      <w:pPr>
        <w:keepNext w:val="0"/>
        <w:keepLines w:val="0"/>
        <w:pageBreakBefore w:val="0"/>
        <w:widowControl w:val="0"/>
        <w:kinsoku/>
        <w:wordWrap/>
        <w:overflowPunct/>
        <w:topLinePunct w:val="0"/>
        <w:autoSpaceDE/>
        <w:autoSpaceDN/>
        <w:bidi w:val="0"/>
        <w:spacing w:line="560" w:lineRule="exact"/>
        <w:ind w:firstLine="640"/>
        <w:jc w:val="left"/>
        <w:textAlignment w:val="auto"/>
        <w:outlineLvl w:val="9"/>
        <w:rPr>
          <w:rFonts w:ascii="仿宋_GB2312" w:hAnsi="等线" w:eastAsia="仿宋_GB2312"/>
          <w:sz w:val="32"/>
          <w:szCs w:val="32"/>
        </w:rPr>
      </w:pPr>
      <w:r>
        <w:rPr>
          <w:rFonts w:hint="eastAsia" w:ascii="仿宋_GB2312" w:hAnsi="等线" w:eastAsia="仿宋_GB2312"/>
          <w:sz w:val="32"/>
          <w:szCs w:val="32"/>
        </w:rPr>
        <w:t>2023年2月，本公司与哈银消金、</w:t>
      </w:r>
      <w:r>
        <w:rPr>
          <w:rFonts w:hint="eastAsia" w:ascii="仿宋_GB2312" w:hAnsi="仿宋_GB2312" w:eastAsia="仿宋_GB2312" w:cs="仿宋_GB2312"/>
          <w:sz w:val="32"/>
          <w:szCs w:val="32"/>
        </w:rPr>
        <w:t>哈银金融租赁有限责任公司（以下简称“哈银金租”）</w:t>
      </w:r>
      <w:r>
        <w:rPr>
          <w:rFonts w:hint="eastAsia" w:ascii="仿宋_GB2312" w:hAnsi="等线" w:eastAsia="仿宋_GB2312"/>
          <w:sz w:val="32"/>
          <w:szCs w:val="32"/>
        </w:rPr>
        <w:t>发生授信类关联交易累计22笔，金额合计120亿元。截至2023年2月末，哈银消金在本公司授信业务用信余额60亿元，较年初下降7.5亿元,占本公司上季度末资本净额的10.00%。哈银金租在本公司授信业务用信余额60亿元，较年初下降33.95亿元，占本公司上季度末资本净额的10.00%。</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仿宋_GB2312" w:hAnsi="等线" w:eastAsia="仿宋_GB2312"/>
          <w:sz w:val="32"/>
          <w:szCs w:val="32"/>
        </w:rPr>
      </w:pPr>
      <w:r>
        <w:rPr>
          <w:rFonts w:hint="eastAsia" w:ascii="仿宋_GB2312" w:hAnsi="等线" w:eastAsia="仿宋_GB2312"/>
          <w:color w:val="000000"/>
          <w:sz w:val="32"/>
          <w:szCs w:val="32"/>
        </w:rPr>
        <w:t>另外哈银消金</w:t>
      </w:r>
      <w:r>
        <w:rPr>
          <w:rFonts w:hint="eastAsia" w:ascii="仿宋_GB2312" w:hAnsi="仿宋_GB2312" w:eastAsia="仿宋_GB2312" w:cs="仿宋_GB2312"/>
          <w:sz w:val="32"/>
          <w:szCs w:val="32"/>
        </w:rPr>
        <w:t>向本公司提供金融技术服务，符合《银行保险机构关联交易管理办法》中第十三条约定，属于服务类关联交易。《关于备案哈尔滨银行与哈尔滨哈银消费金融有限责任公司关联交易的议案》已通过董事会风险管理及关联交易控制委员会2022年第八次会议、董事会八届十二次会议的审议。</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hint="eastAsia" w:ascii="楷体_GB2312" w:hAnsi="楷体_GB2312" w:eastAsia="楷体_GB2312" w:cs="楷体_GB2312"/>
          <w:sz w:val="32"/>
          <w:szCs w:val="32"/>
        </w:rPr>
      </w:pPr>
      <w:bookmarkStart w:id="0" w:name="_GoBack"/>
      <w:r>
        <w:rPr>
          <w:rFonts w:hint="eastAsia" w:ascii="楷体_GB2312" w:hAnsi="楷体_GB2312" w:eastAsia="楷体_GB2312" w:cs="楷体_GB2312"/>
          <w:sz w:val="32"/>
          <w:szCs w:val="32"/>
        </w:rPr>
        <w:t>（二）交易标的情况</w:t>
      </w:r>
    </w:p>
    <w:bookmarkEnd w:id="0"/>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2023年1月，子公司哈银消金在本公司发生授信类业务共计4笔，业务类型均为同业借款。</w:t>
      </w:r>
      <w:r>
        <w:rPr>
          <w:rFonts w:hint="eastAsia" w:ascii="仿宋_GB2312" w:hAnsi="等线" w:eastAsia="仿宋_GB2312"/>
          <w:sz w:val="32"/>
          <w:szCs w:val="32"/>
        </w:rPr>
        <w:t>2023年2月，子公司哈银消金、哈银金租</w:t>
      </w:r>
      <w:r>
        <w:rPr>
          <w:rFonts w:hint="eastAsia" w:ascii="仿宋_GB2312" w:eastAsia="仿宋_GB2312"/>
          <w:sz w:val="32"/>
          <w:szCs w:val="32"/>
        </w:rPr>
        <w:t>在本公司发生</w:t>
      </w:r>
      <w:r>
        <w:rPr>
          <w:rFonts w:hint="eastAsia" w:ascii="仿宋_GB2312" w:hAnsi="等线" w:eastAsia="仿宋_GB2312"/>
          <w:sz w:val="32"/>
          <w:szCs w:val="32"/>
        </w:rPr>
        <w:t>授信类关联交易共计22笔，</w:t>
      </w:r>
      <w:r>
        <w:rPr>
          <w:rFonts w:hint="eastAsia" w:ascii="仿宋_GB2312" w:eastAsia="仿宋_GB2312"/>
          <w:sz w:val="32"/>
          <w:szCs w:val="32"/>
        </w:rPr>
        <w:t>业务类型均为同业借款。</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仿宋_GB2312" w:eastAsia="仿宋_GB2312"/>
          <w:sz w:val="32"/>
          <w:szCs w:val="32"/>
        </w:rPr>
      </w:pPr>
      <w:r>
        <w:rPr>
          <w:rFonts w:hint="eastAsia" w:ascii="仿宋_GB2312" w:hAnsi="仿宋_GB2312" w:eastAsia="仿宋_GB2312" w:cs="仿宋_GB2312"/>
          <w:sz w:val="32"/>
          <w:szCs w:val="32"/>
        </w:rPr>
        <w:t>2023年1月至2月，哈银消金向本公司提供金融技术服务共计3笔。</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黑体" w:hAnsi="黑体" w:eastAsia="黑体" w:cs="黑体"/>
          <w:color w:val="FF0000"/>
          <w:sz w:val="32"/>
          <w:szCs w:val="32"/>
        </w:rPr>
      </w:pPr>
      <w:r>
        <w:rPr>
          <w:rFonts w:hint="eastAsia" w:ascii="黑体" w:hAnsi="黑体" w:eastAsia="黑体" w:cs="黑体"/>
          <w:sz w:val="32"/>
          <w:szCs w:val="32"/>
        </w:rPr>
        <w:t>二、关联方介绍</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1.关联方基本情况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哈银消金成立于2017年1月24日，注册地为哈尔滨市道里区群力第四大道1536号A1栋1层4号，注册资本为人民币15亿元，是经中国银监会批准、本公司作为控股股东发起设立的金融企业。本公司对哈银消金出资7.95亿元，持股比例为53%。</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哈银消金的主营业务及经营范围：发放个人消费贷款；接受股东境内子公司及境内股东的存款；向境内金融机构借款；经批准发行金融债券；境内同业拆借；与消费金融相关的咨询、代理业务；代理销售与消费信贷相关的保险产品；固定收益类证券投资业务；经银监会批准的其他业务。</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哈银金租成立于2014年6月11日，注册地为哈尔滨高新区科技创新创业广场12号楼世茂大道66号211室，注册资本为人民币20亿元，是经中国银监会批准、本公司作为控股股东发起设立的从事融资租赁业务的金融企业，也是东北地区首家成立的银行系金融租赁公司。本公司对哈银金租出资16亿元，持股比例为80%。</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哈银金租的主营业务及经营范围：金融业融资租赁业务，转让和受让融资租赁资产，固定收益类证劵投资业务，接受承租人的租赁保证金，吸收非银行股东3个月（含）以上定期存款，同业拆借，向金融机构借款，境外借款，租赁物变卖及处理业务，经济咨询，中国银监会批准的其他业务（金融许可证有效期限为长期）。</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2．与公司存在的关联关系</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哈银消金是本公司控股子公司，纳入本公司关联方管理。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哈银金租是本公司控股子公司，纳入本公司关联方管理。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黑体" w:hAnsi="黑体" w:eastAsia="黑体" w:cs="黑体"/>
          <w:sz w:val="32"/>
          <w:szCs w:val="32"/>
        </w:rPr>
      </w:pPr>
      <w:r>
        <w:rPr>
          <w:rFonts w:hint="eastAsia" w:ascii="黑体" w:hAnsi="黑体" w:eastAsia="黑体" w:cs="黑体"/>
          <w:sz w:val="32"/>
          <w:szCs w:val="32"/>
        </w:rPr>
        <w:t>三、关联交易定价政策</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黑体" w:hAnsi="黑体" w:eastAsia="黑体" w:cs="黑体"/>
          <w:color w:val="000000"/>
          <w:sz w:val="32"/>
          <w:szCs w:val="32"/>
        </w:rPr>
      </w:pPr>
      <w:r>
        <w:rPr>
          <w:rFonts w:hint="eastAsia" w:ascii="仿宋_GB2312" w:hAnsi="仿宋_GB2312" w:eastAsia="仿宋_GB2312" w:cs="仿宋_GB2312"/>
          <w:sz w:val="32"/>
          <w:szCs w:val="32"/>
        </w:rPr>
        <w:t>本次关联交易按照合规、公平原则协商订立具体交易条款，公司对其授信按照不优于对非关联方同类交易的条件进行。</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ascii="黑体" w:hAnsi="黑体" w:eastAsia="黑体" w:cs="黑体"/>
          <w:sz w:val="32"/>
          <w:szCs w:val="32"/>
        </w:rPr>
      </w:pPr>
      <w:r>
        <w:rPr>
          <w:rFonts w:hint="eastAsia" w:ascii="黑体" w:hAnsi="黑体" w:eastAsia="黑体" w:cs="黑体"/>
          <w:sz w:val="32"/>
          <w:szCs w:val="32"/>
        </w:rPr>
        <w:t>四、关联交易金额及相应比例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ascii="仿宋_GB2312" w:hAnsi="等线"/>
          <w:color w:val="000000"/>
          <w:sz w:val="32"/>
          <w:szCs w:val="32"/>
        </w:rPr>
      </w:pPr>
      <w:r>
        <w:rPr>
          <w:rFonts w:hint="eastAsia" w:ascii="仿宋_GB2312" w:hAnsi="等线" w:eastAsia="仿宋_GB2312"/>
          <w:sz w:val="32"/>
          <w:szCs w:val="32"/>
        </w:rPr>
        <w:t>20</w:t>
      </w:r>
      <w:r>
        <w:rPr>
          <w:rFonts w:ascii="仿宋_GB2312" w:hAnsi="等线" w:eastAsia="仿宋_GB2312"/>
          <w:sz w:val="32"/>
          <w:szCs w:val="32"/>
        </w:rPr>
        <w:t>2</w:t>
      </w:r>
      <w:r>
        <w:rPr>
          <w:rFonts w:hint="eastAsia" w:ascii="仿宋_GB2312" w:hAnsi="等线" w:eastAsia="仿宋_GB2312"/>
          <w:sz w:val="32"/>
          <w:szCs w:val="32"/>
        </w:rPr>
        <w:t>3年</w:t>
      </w:r>
      <w:r>
        <w:rPr>
          <w:rFonts w:ascii="仿宋_GB2312" w:hAnsi="等线" w:eastAsia="仿宋_GB2312"/>
          <w:sz w:val="32"/>
          <w:szCs w:val="32"/>
        </w:rPr>
        <w:t>1</w:t>
      </w:r>
      <w:r>
        <w:rPr>
          <w:rFonts w:hint="eastAsia" w:ascii="仿宋_GB2312" w:hAnsi="等线" w:eastAsia="仿宋_GB2312"/>
          <w:sz w:val="32"/>
          <w:szCs w:val="32"/>
        </w:rPr>
        <w:t>月，本公司与</w:t>
      </w:r>
      <w:r>
        <w:rPr>
          <w:rFonts w:hint="eastAsia" w:ascii="仿宋_GB2312" w:hAnsi="等线" w:eastAsia="仿宋_GB2312"/>
          <w:color w:val="000000"/>
          <w:sz w:val="32"/>
          <w:szCs w:val="32"/>
        </w:rPr>
        <w:t>哈银消金发生授信类关联交易累计</w:t>
      </w:r>
      <w:r>
        <w:rPr>
          <w:rFonts w:ascii="仿宋_GB2312" w:hAnsi="等线" w:eastAsia="仿宋_GB2312"/>
          <w:color w:val="000000"/>
          <w:sz w:val="32"/>
          <w:szCs w:val="32"/>
        </w:rPr>
        <w:t>4</w:t>
      </w:r>
      <w:r>
        <w:rPr>
          <w:rFonts w:hint="eastAsia" w:ascii="仿宋_GB2312" w:hAnsi="等线" w:eastAsia="仿宋_GB2312"/>
          <w:color w:val="000000"/>
          <w:sz w:val="32"/>
          <w:szCs w:val="32"/>
        </w:rPr>
        <w:t>笔，金额</w:t>
      </w:r>
      <w:r>
        <w:rPr>
          <w:rFonts w:ascii="仿宋_GB2312" w:hAnsi="等线" w:eastAsia="仿宋_GB2312"/>
          <w:color w:val="000000"/>
          <w:sz w:val="32"/>
          <w:szCs w:val="32"/>
        </w:rPr>
        <w:t>10.5</w:t>
      </w:r>
      <w:r>
        <w:rPr>
          <w:rFonts w:hint="eastAsia" w:ascii="仿宋_GB2312" w:hAnsi="等线" w:eastAsia="仿宋_GB2312"/>
          <w:color w:val="000000"/>
          <w:sz w:val="32"/>
          <w:szCs w:val="32"/>
        </w:rPr>
        <w:t>亿元，发生业务种类为同业借款。</w:t>
      </w:r>
    </w:p>
    <w:p>
      <w:pPr>
        <w:widowControl/>
        <w:spacing w:line="560" w:lineRule="exact"/>
        <w:ind w:firstLine="560" w:firstLineChars="200"/>
        <w:jc w:val="center"/>
        <w:rPr>
          <w:rFonts w:ascii="仿宋_GB2312" w:hAnsi="等线" w:eastAsia="仿宋_GB2312" w:cs="宋体"/>
          <w:kern w:val="0"/>
          <w:sz w:val="28"/>
          <w:szCs w:val="28"/>
        </w:rPr>
      </w:pPr>
      <w:r>
        <w:rPr>
          <w:rFonts w:hint="eastAsia" w:ascii="仿宋_GB2312" w:hAnsi="等线" w:eastAsia="仿宋_GB2312" w:cs="宋体"/>
          <w:kern w:val="0"/>
          <w:sz w:val="28"/>
          <w:szCs w:val="28"/>
        </w:rPr>
        <w:t>表1 2</w:t>
      </w:r>
      <w:r>
        <w:rPr>
          <w:rFonts w:ascii="仿宋_GB2312" w:hAnsi="等线" w:eastAsia="仿宋_GB2312" w:cs="宋体"/>
          <w:kern w:val="0"/>
          <w:sz w:val="28"/>
          <w:szCs w:val="28"/>
        </w:rPr>
        <w:t>023</w:t>
      </w:r>
      <w:r>
        <w:rPr>
          <w:rFonts w:hint="eastAsia" w:ascii="仿宋_GB2312" w:hAnsi="等线" w:eastAsia="仿宋_GB2312" w:cs="宋体"/>
          <w:kern w:val="0"/>
          <w:sz w:val="28"/>
          <w:szCs w:val="28"/>
        </w:rPr>
        <w:t>年</w:t>
      </w:r>
      <w:r>
        <w:rPr>
          <w:rFonts w:ascii="仿宋_GB2312" w:hAnsi="等线" w:eastAsia="仿宋_GB2312" w:cs="宋体"/>
          <w:kern w:val="0"/>
          <w:sz w:val="28"/>
          <w:szCs w:val="28"/>
        </w:rPr>
        <w:t>1</w:t>
      </w:r>
      <w:r>
        <w:rPr>
          <w:rFonts w:hint="eastAsia" w:ascii="仿宋_GB2312" w:hAnsi="等线" w:eastAsia="仿宋_GB2312" w:cs="宋体"/>
          <w:kern w:val="0"/>
          <w:sz w:val="28"/>
          <w:szCs w:val="28"/>
        </w:rPr>
        <w:t>月与哈银消金关联交易明细表</w:t>
      </w:r>
    </w:p>
    <w:p>
      <w:pPr>
        <w:widowControl/>
        <w:spacing w:line="420" w:lineRule="exact"/>
        <w:ind w:firstLine="560" w:firstLineChars="200"/>
        <w:jc w:val="right"/>
        <w:rPr>
          <w:rFonts w:ascii="仿宋_GB2312" w:hAnsi="等线" w:eastAsia="仿宋_GB2312" w:cs="宋体"/>
          <w:color w:val="000000"/>
          <w:kern w:val="0"/>
          <w:sz w:val="28"/>
          <w:szCs w:val="28"/>
        </w:rPr>
      </w:pPr>
      <w:r>
        <w:rPr>
          <w:rFonts w:hint="eastAsia" w:ascii="仿宋_GB2312" w:hAnsi="等线" w:eastAsia="仿宋_GB2312" w:cs="宋体"/>
          <w:color w:val="000000"/>
          <w:kern w:val="0"/>
          <w:sz w:val="28"/>
          <w:szCs w:val="28"/>
        </w:rPr>
        <w:t>单位：万元</w:t>
      </w:r>
    </w:p>
    <w:tbl>
      <w:tblPr>
        <w:tblStyle w:val="9"/>
        <w:tblW w:w="8845" w:type="dxa"/>
        <w:jc w:val="center"/>
        <w:tblInd w:w="0" w:type="dxa"/>
        <w:tblLayout w:type="fixed"/>
        <w:tblCellMar>
          <w:top w:w="0" w:type="dxa"/>
          <w:left w:w="108" w:type="dxa"/>
          <w:bottom w:w="0" w:type="dxa"/>
          <w:right w:w="108" w:type="dxa"/>
        </w:tblCellMar>
      </w:tblPr>
      <w:tblGrid>
        <w:gridCol w:w="1832"/>
        <w:gridCol w:w="1836"/>
        <w:gridCol w:w="1853"/>
        <w:gridCol w:w="1697"/>
        <w:gridCol w:w="1627"/>
      </w:tblGrid>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nil"/>
              <w:right w:val="single" w:color="000000" w:sz="4" w:space="0"/>
            </w:tcBorders>
            <w:shd w:val="clear" w:color="auto" w:fill="BEBEBE"/>
            <w:vAlign w:val="center"/>
          </w:tcPr>
          <w:p>
            <w:pPr>
              <w:widowControl/>
              <w:spacing w:line="420" w:lineRule="exact"/>
              <w:ind w:firstLine="0" w:firstLineChars="0"/>
              <w:jc w:val="center"/>
              <w:textAlignment w:val="center"/>
              <w:rPr>
                <w:rFonts w:ascii="Times New Roman" w:hAnsi="Times New Roman" w:cs="Times New Roman"/>
                <w:b/>
                <w:bCs/>
                <w:color w:val="000000"/>
                <w:kern w:val="0"/>
                <w:szCs w:val="21"/>
                <w:lang w:bidi="ar"/>
              </w:rPr>
            </w:pPr>
            <w:r>
              <w:rPr>
                <w:rFonts w:hint="default" w:ascii="Times New Roman" w:hAnsi="Times New Roman" w:eastAsia="仿宋_GB2312" w:cs="Times New Roman"/>
                <w:b/>
                <w:bCs/>
                <w:color w:val="000000"/>
                <w:kern w:val="0"/>
                <w:szCs w:val="21"/>
                <w:lang w:bidi="ar"/>
              </w:rPr>
              <w:t>业务起始日期</w:t>
            </w:r>
          </w:p>
        </w:tc>
        <w:tc>
          <w:tcPr>
            <w:tcW w:w="1836" w:type="dxa"/>
            <w:tcBorders>
              <w:top w:val="single" w:color="000000" w:sz="4" w:space="0"/>
              <w:left w:val="single" w:color="000000" w:sz="4" w:space="0"/>
              <w:bottom w:val="nil"/>
              <w:right w:val="single" w:color="000000" w:sz="4" w:space="0"/>
            </w:tcBorders>
            <w:shd w:val="clear" w:color="auto" w:fill="BEBEBE"/>
            <w:vAlign w:val="center"/>
          </w:tcPr>
          <w:p>
            <w:pPr>
              <w:widowControl/>
              <w:spacing w:line="420" w:lineRule="exact"/>
              <w:ind w:firstLine="0" w:firstLineChars="0"/>
              <w:jc w:val="center"/>
              <w:textAlignment w:val="center"/>
              <w:rPr>
                <w:rFonts w:ascii="Times New Roman" w:hAnsi="Times New Roman" w:cs="Times New Roman"/>
                <w:b/>
                <w:bCs/>
                <w:color w:val="000000"/>
                <w:kern w:val="0"/>
                <w:szCs w:val="21"/>
                <w:lang w:bidi="ar"/>
              </w:rPr>
            </w:pPr>
            <w:r>
              <w:rPr>
                <w:rFonts w:hint="default" w:ascii="Times New Roman" w:hAnsi="Times New Roman" w:eastAsia="仿宋_GB2312" w:cs="Times New Roman"/>
                <w:b/>
                <w:bCs/>
                <w:color w:val="000000"/>
                <w:kern w:val="0"/>
                <w:szCs w:val="21"/>
                <w:lang w:bidi="ar"/>
              </w:rPr>
              <w:t>业务终止日期</w:t>
            </w:r>
          </w:p>
        </w:tc>
        <w:tc>
          <w:tcPr>
            <w:tcW w:w="1853" w:type="dxa"/>
            <w:tcBorders>
              <w:top w:val="single" w:color="000000" w:sz="4" w:space="0"/>
              <w:left w:val="single" w:color="000000" w:sz="4" w:space="0"/>
              <w:bottom w:val="nil"/>
              <w:right w:val="single" w:color="000000" w:sz="4" w:space="0"/>
            </w:tcBorders>
            <w:shd w:val="clear" w:color="auto" w:fill="BEBEBE"/>
            <w:vAlign w:val="center"/>
          </w:tcPr>
          <w:p>
            <w:pPr>
              <w:widowControl/>
              <w:spacing w:line="420" w:lineRule="exact"/>
              <w:ind w:firstLine="0" w:firstLineChars="0"/>
              <w:jc w:val="center"/>
              <w:textAlignment w:val="center"/>
              <w:rPr>
                <w:rFonts w:ascii="Times New Roman" w:hAnsi="Times New Roman" w:cs="Times New Roman"/>
                <w:b/>
                <w:bCs/>
                <w:color w:val="000000"/>
                <w:kern w:val="0"/>
                <w:szCs w:val="21"/>
                <w:lang w:bidi="ar"/>
              </w:rPr>
            </w:pPr>
            <w:r>
              <w:rPr>
                <w:rFonts w:hint="default" w:ascii="Times New Roman" w:hAnsi="Times New Roman" w:eastAsia="仿宋_GB2312" w:cs="Times New Roman"/>
                <w:b/>
                <w:bCs/>
                <w:color w:val="000000"/>
                <w:kern w:val="0"/>
                <w:szCs w:val="21"/>
                <w:lang w:bidi="ar"/>
              </w:rPr>
              <w:t>资金用途</w:t>
            </w:r>
          </w:p>
        </w:tc>
        <w:tc>
          <w:tcPr>
            <w:tcW w:w="1697" w:type="dxa"/>
            <w:tcBorders>
              <w:top w:val="single" w:color="000000" w:sz="4" w:space="0"/>
              <w:left w:val="single" w:color="000000" w:sz="4" w:space="0"/>
              <w:bottom w:val="nil"/>
              <w:right w:val="single" w:color="000000" w:sz="4" w:space="0"/>
            </w:tcBorders>
            <w:shd w:val="clear" w:color="auto" w:fill="BEBEBE"/>
            <w:vAlign w:val="center"/>
          </w:tcPr>
          <w:p>
            <w:pPr>
              <w:widowControl/>
              <w:spacing w:line="420" w:lineRule="exact"/>
              <w:ind w:firstLine="0" w:firstLineChars="0"/>
              <w:jc w:val="center"/>
              <w:textAlignment w:val="center"/>
              <w:rPr>
                <w:rFonts w:ascii="Times New Roman" w:hAnsi="Times New Roman" w:cs="Times New Roman"/>
                <w:b/>
                <w:bCs/>
                <w:color w:val="000000"/>
                <w:kern w:val="0"/>
                <w:szCs w:val="21"/>
                <w:lang w:bidi="ar"/>
              </w:rPr>
            </w:pPr>
            <w:r>
              <w:rPr>
                <w:rFonts w:hint="default" w:ascii="Times New Roman" w:hAnsi="Times New Roman" w:eastAsia="仿宋_GB2312" w:cs="Times New Roman"/>
                <w:b/>
                <w:bCs/>
                <w:color w:val="000000"/>
                <w:kern w:val="0"/>
                <w:szCs w:val="21"/>
                <w:lang w:bidi="ar"/>
              </w:rPr>
              <w:t>本笔用信金额</w:t>
            </w:r>
          </w:p>
        </w:tc>
        <w:tc>
          <w:tcPr>
            <w:tcW w:w="1627" w:type="dxa"/>
            <w:tcBorders>
              <w:top w:val="single" w:color="000000" w:sz="4" w:space="0"/>
              <w:left w:val="single" w:color="000000" w:sz="4" w:space="0"/>
              <w:bottom w:val="single" w:color="000000" w:sz="4" w:space="0"/>
              <w:right w:val="single" w:color="000000" w:sz="4" w:space="0"/>
            </w:tcBorders>
            <w:shd w:val="clear" w:color="auto" w:fill="BEBEBE"/>
            <w:vAlign w:val="center"/>
          </w:tcPr>
          <w:p>
            <w:pPr>
              <w:widowControl/>
              <w:spacing w:line="420" w:lineRule="exact"/>
              <w:ind w:firstLine="0" w:firstLineChars="0"/>
              <w:jc w:val="center"/>
              <w:textAlignment w:val="center"/>
              <w:rPr>
                <w:rFonts w:ascii="Times New Roman" w:hAnsi="Times New Roman" w:cs="Times New Roman"/>
                <w:b/>
                <w:bCs/>
                <w:color w:val="000000"/>
                <w:kern w:val="0"/>
                <w:szCs w:val="21"/>
                <w:lang w:bidi="ar"/>
              </w:rPr>
            </w:pPr>
            <w:r>
              <w:rPr>
                <w:rFonts w:hint="default" w:ascii="Times New Roman" w:hAnsi="Times New Roman" w:eastAsia="仿宋_GB2312" w:cs="Times New Roman"/>
                <w:b/>
                <w:bCs/>
                <w:color w:val="000000"/>
                <w:kern w:val="0"/>
                <w:szCs w:val="21"/>
                <w:lang w:bidi="ar"/>
              </w:rPr>
              <w:t>占比</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2023/1/10</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2023/2/20</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30,000.00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0.50%</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2023/1/11</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2023/1/28</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40,000.00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0.67%</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2023/1/11</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2023/2/21</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10,000.00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0.17%</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2023/1/12</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2023/2/22</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25,000.00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0.42%</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总计</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105,000.00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s="Times New Roman"/>
                <w:color w:val="000000"/>
                <w:kern w:val="0"/>
                <w:szCs w:val="21"/>
                <w:lang w:bidi="ar"/>
              </w:rPr>
            </w:pPr>
            <w:r>
              <w:rPr>
                <w:rFonts w:hint="default" w:ascii="Times New Roman" w:hAnsi="Times New Roman" w:eastAsia="仿宋_GB2312" w:cs="Times New Roman"/>
                <w:color w:val="000000"/>
                <w:kern w:val="0"/>
                <w:szCs w:val="21"/>
                <w:lang w:bidi="ar"/>
              </w:rPr>
              <w:t>1.75%</w:t>
            </w: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ascii="仿宋_GB2312" w:hAnsi="等线"/>
          <w:color w:val="000000"/>
          <w:sz w:val="32"/>
          <w:szCs w:val="32"/>
        </w:rPr>
      </w:pPr>
      <w:r>
        <w:rPr>
          <w:rFonts w:hint="eastAsia" w:ascii="仿宋_GB2312" w:hAnsi="等线" w:eastAsia="仿宋_GB2312"/>
          <w:sz w:val="32"/>
          <w:szCs w:val="32"/>
        </w:rPr>
        <w:t>20</w:t>
      </w:r>
      <w:r>
        <w:rPr>
          <w:rFonts w:ascii="仿宋_GB2312" w:hAnsi="等线" w:eastAsia="仿宋_GB2312"/>
          <w:sz w:val="32"/>
          <w:szCs w:val="32"/>
        </w:rPr>
        <w:t>2</w:t>
      </w:r>
      <w:r>
        <w:rPr>
          <w:rFonts w:hint="eastAsia" w:ascii="仿宋_GB2312" w:hAnsi="等线" w:eastAsia="仿宋_GB2312"/>
          <w:sz w:val="32"/>
          <w:szCs w:val="32"/>
        </w:rPr>
        <w:t>3年2月，本公司与</w:t>
      </w:r>
      <w:r>
        <w:rPr>
          <w:rFonts w:hint="eastAsia" w:ascii="仿宋_GB2312" w:hAnsi="等线" w:eastAsia="仿宋_GB2312"/>
          <w:color w:val="000000"/>
          <w:sz w:val="32"/>
          <w:szCs w:val="32"/>
        </w:rPr>
        <w:t>哈银消金发生授信类关联交易累计1</w:t>
      </w:r>
      <w:r>
        <w:rPr>
          <w:rFonts w:ascii="仿宋_GB2312" w:hAnsi="等线" w:eastAsia="仿宋_GB2312"/>
          <w:color w:val="000000"/>
          <w:sz w:val="32"/>
          <w:szCs w:val="32"/>
        </w:rPr>
        <w:t>6</w:t>
      </w:r>
      <w:r>
        <w:rPr>
          <w:rFonts w:hint="eastAsia" w:ascii="仿宋_GB2312" w:hAnsi="等线" w:eastAsia="仿宋_GB2312"/>
          <w:color w:val="000000"/>
          <w:sz w:val="32"/>
          <w:szCs w:val="32"/>
        </w:rPr>
        <w:t>笔，金额60亿元，发生业务种类为同业借款。</w:t>
      </w:r>
    </w:p>
    <w:p>
      <w:pPr>
        <w:widowControl/>
        <w:spacing w:line="560" w:lineRule="exact"/>
        <w:ind w:firstLine="560" w:firstLineChars="200"/>
        <w:jc w:val="center"/>
        <w:rPr>
          <w:rFonts w:ascii="仿宋_GB2312" w:hAnsi="等线" w:eastAsia="仿宋_GB2312" w:cs="宋体"/>
          <w:kern w:val="0"/>
          <w:sz w:val="28"/>
          <w:szCs w:val="28"/>
        </w:rPr>
      </w:pPr>
      <w:r>
        <w:rPr>
          <w:rFonts w:hint="eastAsia" w:ascii="仿宋_GB2312" w:hAnsi="等线" w:eastAsia="仿宋_GB2312" w:cs="宋体"/>
          <w:kern w:val="0"/>
          <w:sz w:val="28"/>
          <w:szCs w:val="28"/>
        </w:rPr>
        <w:t>表2 2</w:t>
      </w:r>
      <w:r>
        <w:rPr>
          <w:rFonts w:ascii="仿宋_GB2312" w:hAnsi="等线" w:eastAsia="仿宋_GB2312" w:cs="宋体"/>
          <w:kern w:val="0"/>
          <w:sz w:val="28"/>
          <w:szCs w:val="28"/>
        </w:rPr>
        <w:t>023</w:t>
      </w:r>
      <w:r>
        <w:rPr>
          <w:rFonts w:hint="eastAsia" w:ascii="仿宋_GB2312" w:hAnsi="等线" w:eastAsia="仿宋_GB2312" w:cs="宋体"/>
          <w:kern w:val="0"/>
          <w:sz w:val="28"/>
          <w:szCs w:val="28"/>
        </w:rPr>
        <w:t>年2月与哈银消金关联交易明细表</w:t>
      </w:r>
    </w:p>
    <w:p>
      <w:pPr>
        <w:widowControl/>
        <w:spacing w:line="420" w:lineRule="exact"/>
        <w:ind w:firstLine="560" w:firstLineChars="200"/>
        <w:jc w:val="right"/>
        <w:rPr>
          <w:rFonts w:ascii="仿宋_GB2312" w:hAnsi="等线" w:eastAsia="仿宋_GB2312" w:cs="宋体"/>
          <w:color w:val="000000"/>
          <w:kern w:val="0"/>
          <w:sz w:val="28"/>
          <w:szCs w:val="28"/>
        </w:rPr>
      </w:pPr>
      <w:r>
        <w:rPr>
          <w:rFonts w:hint="eastAsia" w:ascii="仿宋_GB2312" w:hAnsi="等线" w:eastAsia="仿宋_GB2312" w:cs="宋体"/>
          <w:color w:val="000000"/>
          <w:kern w:val="0"/>
          <w:sz w:val="28"/>
          <w:szCs w:val="28"/>
        </w:rPr>
        <w:t>单位：万元</w:t>
      </w:r>
    </w:p>
    <w:tbl>
      <w:tblPr>
        <w:tblStyle w:val="9"/>
        <w:tblW w:w="8845" w:type="dxa"/>
        <w:jc w:val="center"/>
        <w:tblInd w:w="0" w:type="dxa"/>
        <w:tblLayout w:type="fixed"/>
        <w:tblCellMar>
          <w:top w:w="0" w:type="dxa"/>
          <w:left w:w="108" w:type="dxa"/>
          <w:bottom w:w="0" w:type="dxa"/>
          <w:right w:w="108" w:type="dxa"/>
        </w:tblCellMar>
      </w:tblPr>
      <w:tblGrid>
        <w:gridCol w:w="1832"/>
        <w:gridCol w:w="1836"/>
        <w:gridCol w:w="1853"/>
        <w:gridCol w:w="1697"/>
        <w:gridCol w:w="1627"/>
      </w:tblGrid>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nil"/>
              <w:right w:val="single" w:color="000000" w:sz="4" w:space="0"/>
            </w:tcBorders>
            <w:shd w:val="clear" w:color="auto" w:fill="BEBEBE"/>
            <w:vAlign w:val="center"/>
          </w:tcPr>
          <w:p>
            <w:pPr>
              <w:widowControl/>
              <w:spacing w:line="420" w:lineRule="exact"/>
              <w:ind w:firstLine="0" w:firstLineChars="0"/>
              <w:jc w:val="center"/>
              <w:textAlignment w:val="center"/>
              <w:rPr>
                <w:rFonts w:ascii="Times New Roman" w:hAnsi="Times New Roman"/>
                <w:b/>
                <w:bCs/>
                <w:color w:val="000000"/>
                <w:kern w:val="0"/>
                <w:szCs w:val="21"/>
                <w:lang w:bidi="ar"/>
              </w:rPr>
            </w:pPr>
            <w:r>
              <w:rPr>
                <w:rFonts w:ascii="Times New Roman" w:hAnsi="Times New Roman" w:eastAsia="仿宋_GB2312"/>
                <w:b/>
                <w:bCs/>
                <w:color w:val="000000"/>
                <w:kern w:val="0"/>
                <w:szCs w:val="21"/>
                <w:lang w:bidi="ar"/>
              </w:rPr>
              <w:t>业务起始日期</w:t>
            </w:r>
          </w:p>
        </w:tc>
        <w:tc>
          <w:tcPr>
            <w:tcW w:w="1836" w:type="dxa"/>
            <w:tcBorders>
              <w:top w:val="single" w:color="000000" w:sz="4" w:space="0"/>
              <w:left w:val="single" w:color="000000" w:sz="4" w:space="0"/>
              <w:bottom w:val="nil"/>
              <w:right w:val="single" w:color="000000" w:sz="4" w:space="0"/>
            </w:tcBorders>
            <w:shd w:val="clear" w:color="auto" w:fill="BEBEBE"/>
            <w:vAlign w:val="center"/>
          </w:tcPr>
          <w:p>
            <w:pPr>
              <w:widowControl/>
              <w:spacing w:line="420" w:lineRule="exact"/>
              <w:ind w:firstLine="0" w:firstLineChars="0"/>
              <w:jc w:val="center"/>
              <w:textAlignment w:val="center"/>
              <w:rPr>
                <w:rFonts w:ascii="Times New Roman" w:hAnsi="Times New Roman"/>
                <w:b/>
                <w:bCs/>
                <w:color w:val="000000"/>
                <w:kern w:val="0"/>
                <w:szCs w:val="21"/>
                <w:lang w:bidi="ar"/>
              </w:rPr>
            </w:pPr>
            <w:r>
              <w:rPr>
                <w:rFonts w:ascii="Times New Roman" w:hAnsi="Times New Roman" w:eastAsia="仿宋_GB2312"/>
                <w:b/>
                <w:bCs/>
                <w:color w:val="000000"/>
                <w:kern w:val="0"/>
                <w:szCs w:val="21"/>
                <w:lang w:bidi="ar"/>
              </w:rPr>
              <w:t>业务终止日期</w:t>
            </w:r>
          </w:p>
        </w:tc>
        <w:tc>
          <w:tcPr>
            <w:tcW w:w="1853" w:type="dxa"/>
            <w:tcBorders>
              <w:top w:val="single" w:color="000000" w:sz="4" w:space="0"/>
              <w:left w:val="single" w:color="000000" w:sz="4" w:space="0"/>
              <w:bottom w:val="nil"/>
              <w:right w:val="single" w:color="000000" w:sz="4" w:space="0"/>
            </w:tcBorders>
            <w:shd w:val="clear" w:color="auto" w:fill="BEBEBE"/>
            <w:vAlign w:val="center"/>
          </w:tcPr>
          <w:p>
            <w:pPr>
              <w:widowControl/>
              <w:spacing w:line="420" w:lineRule="exact"/>
              <w:ind w:firstLine="0" w:firstLineChars="0"/>
              <w:jc w:val="center"/>
              <w:textAlignment w:val="center"/>
              <w:rPr>
                <w:rFonts w:ascii="Times New Roman" w:hAnsi="Times New Roman"/>
                <w:b/>
                <w:bCs/>
                <w:color w:val="000000"/>
                <w:kern w:val="0"/>
                <w:szCs w:val="21"/>
                <w:lang w:bidi="ar"/>
              </w:rPr>
            </w:pPr>
            <w:r>
              <w:rPr>
                <w:rFonts w:ascii="Times New Roman" w:hAnsi="Times New Roman" w:eastAsia="仿宋_GB2312"/>
                <w:b/>
                <w:bCs/>
                <w:color w:val="000000"/>
                <w:kern w:val="0"/>
                <w:szCs w:val="21"/>
                <w:lang w:bidi="ar"/>
              </w:rPr>
              <w:t>资金用途</w:t>
            </w:r>
          </w:p>
        </w:tc>
        <w:tc>
          <w:tcPr>
            <w:tcW w:w="1697" w:type="dxa"/>
            <w:tcBorders>
              <w:top w:val="single" w:color="000000" w:sz="4" w:space="0"/>
              <w:left w:val="single" w:color="000000" w:sz="4" w:space="0"/>
              <w:bottom w:val="nil"/>
              <w:right w:val="single" w:color="000000" w:sz="4" w:space="0"/>
            </w:tcBorders>
            <w:shd w:val="clear" w:color="auto" w:fill="BEBEBE"/>
            <w:vAlign w:val="center"/>
          </w:tcPr>
          <w:p>
            <w:pPr>
              <w:widowControl/>
              <w:spacing w:line="420" w:lineRule="exact"/>
              <w:ind w:firstLine="0" w:firstLineChars="0"/>
              <w:jc w:val="center"/>
              <w:textAlignment w:val="center"/>
              <w:rPr>
                <w:rFonts w:ascii="Times New Roman" w:hAnsi="Times New Roman"/>
                <w:b/>
                <w:bCs/>
                <w:color w:val="000000"/>
                <w:kern w:val="0"/>
                <w:szCs w:val="21"/>
                <w:lang w:bidi="ar"/>
              </w:rPr>
            </w:pPr>
            <w:r>
              <w:rPr>
                <w:rFonts w:ascii="Times New Roman" w:hAnsi="Times New Roman" w:eastAsia="仿宋_GB2312"/>
                <w:b/>
                <w:bCs/>
                <w:color w:val="000000"/>
                <w:kern w:val="0"/>
                <w:szCs w:val="21"/>
                <w:lang w:bidi="ar"/>
              </w:rPr>
              <w:t>本笔用信金额</w:t>
            </w:r>
          </w:p>
        </w:tc>
        <w:tc>
          <w:tcPr>
            <w:tcW w:w="1627" w:type="dxa"/>
            <w:tcBorders>
              <w:top w:val="single" w:color="000000" w:sz="4" w:space="0"/>
              <w:left w:val="single" w:color="000000" w:sz="4" w:space="0"/>
              <w:bottom w:val="single" w:color="000000" w:sz="4" w:space="0"/>
              <w:right w:val="single" w:color="000000" w:sz="4" w:space="0"/>
            </w:tcBorders>
            <w:shd w:val="clear" w:color="auto" w:fill="BEBEBE"/>
            <w:vAlign w:val="center"/>
          </w:tcPr>
          <w:p>
            <w:pPr>
              <w:widowControl/>
              <w:spacing w:line="420" w:lineRule="exact"/>
              <w:ind w:firstLine="0" w:firstLineChars="0"/>
              <w:jc w:val="center"/>
              <w:textAlignment w:val="center"/>
              <w:rPr>
                <w:rFonts w:ascii="Times New Roman" w:hAnsi="Times New Roman"/>
                <w:b/>
                <w:bCs/>
                <w:color w:val="000000"/>
                <w:kern w:val="0"/>
                <w:szCs w:val="21"/>
                <w:lang w:bidi="ar"/>
              </w:rPr>
            </w:pPr>
            <w:r>
              <w:rPr>
                <w:rFonts w:ascii="Times New Roman" w:hAnsi="Times New Roman" w:eastAsia="仿宋_GB2312"/>
                <w:b/>
                <w:bCs/>
                <w:color w:val="000000"/>
                <w:kern w:val="0"/>
                <w:szCs w:val="21"/>
                <w:lang w:bidi="ar"/>
              </w:rPr>
              <w:t>占比</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2023/2/10</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2023/5/04</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30,000.00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0.50%</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2023/2/13</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2023/5/04</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5,000.00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0.08%</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2023/2/14</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2023/5/05</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30,000.00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0.50%</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2023/2/15</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2023/5/06</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42,000.00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0.70%</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2023/2/16</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2023/5/08</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35,000.00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0.58%</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2023/2/17</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2023/5/09</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50,000.00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0.83%</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2023/2/20</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2023/5/10</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35,000.00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0.58%</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2023/2/21</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2023/5/15</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40,000.00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0.67%</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2023/2/22</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2023/8/21</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45,000.00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0.75%</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2023/2/23</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2023/8/22</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37,000.00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0.62%</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2023/2/24</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2023/8/23</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50,000.00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0.83%</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2023/2/27</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2023/5/16</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50,000.00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0.83%</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2023/2/27</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2023/5/17</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15,000.00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0.25%</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2023/2/28</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2023/5/22</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50,000.00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0.83%</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2023/2/28</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2023/5/23</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50,000.00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0.83%</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2023/2/28</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2023/5/24</w:t>
            </w: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同业借款</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36,000.00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0.60%</w:t>
            </w:r>
          </w:p>
        </w:tc>
      </w:tr>
      <w:tr>
        <w:tblPrEx>
          <w:tblLayout w:type="fixed"/>
          <w:tblCellMar>
            <w:top w:w="0" w:type="dxa"/>
            <w:left w:w="108" w:type="dxa"/>
            <w:bottom w:w="0" w:type="dxa"/>
            <w:right w:w="108" w:type="dxa"/>
          </w:tblCellMar>
        </w:tblPrEx>
        <w:trPr>
          <w:jc w:val="center"/>
        </w:trPr>
        <w:tc>
          <w:tcPr>
            <w:tcW w:w="1832"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总计</w:t>
            </w:r>
          </w:p>
        </w:tc>
        <w:tc>
          <w:tcPr>
            <w:tcW w:w="1836"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p>
        </w:tc>
        <w:tc>
          <w:tcPr>
            <w:tcW w:w="1853"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600,000.00</w:t>
            </w:r>
          </w:p>
        </w:tc>
        <w:tc>
          <w:tcPr>
            <w:tcW w:w="1627" w:type="dxa"/>
            <w:tcBorders>
              <w:top w:val="single" w:color="000000" w:sz="4" w:space="0"/>
              <w:left w:val="single" w:color="000000" w:sz="4" w:space="0"/>
              <w:bottom w:val="single" w:color="000000" w:sz="4" w:space="0"/>
              <w:right w:val="single" w:color="000000" w:sz="4" w:space="0"/>
            </w:tcBorders>
            <w:vAlign w:val="center"/>
          </w:tcPr>
          <w:p>
            <w:pPr>
              <w:widowControl/>
              <w:spacing w:line="420" w:lineRule="exact"/>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10.00%</w:t>
            </w: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ascii="仿宋_GB2312" w:hAnsi="等线"/>
          <w:color w:val="000000"/>
          <w:sz w:val="32"/>
          <w:szCs w:val="32"/>
        </w:rPr>
      </w:pPr>
      <w:r>
        <w:rPr>
          <w:rFonts w:hint="eastAsia" w:ascii="仿宋_GB2312" w:hAnsi="等线" w:eastAsia="仿宋_GB2312"/>
          <w:sz w:val="32"/>
          <w:szCs w:val="32"/>
        </w:rPr>
        <w:t>2023年2月，</w:t>
      </w:r>
      <w:r>
        <w:rPr>
          <w:rFonts w:hint="eastAsia" w:ascii="仿宋_GB2312" w:hAnsi="黑体" w:eastAsia="仿宋_GB2312" w:cs="宋体"/>
          <w:sz w:val="32"/>
          <w:szCs w:val="32"/>
        </w:rPr>
        <w:t>本公司</w:t>
      </w:r>
      <w:r>
        <w:rPr>
          <w:rFonts w:hint="eastAsia" w:ascii="仿宋_GB2312" w:hAnsi="等线" w:eastAsia="仿宋_GB2312"/>
          <w:sz w:val="32"/>
          <w:szCs w:val="32"/>
        </w:rPr>
        <w:t>与</w:t>
      </w:r>
      <w:r>
        <w:rPr>
          <w:rFonts w:hint="eastAsia" w:ascii="仿宋_GB2312" w:hAnsi="等线" w:eastAsia="仿宋_GB2312"/>
          <w:color w:val="000000"/>
          <w:sz w:val="32"/>
          <w:szCs w:val="32"/>
        </w:rPr>
        <w:t>哈银金租发生授信类关联交易累计6笔，金额60亿元，发生业务种类为同业借款业务。</w:t>
      </w:r>
    </w:p>
    <w:p>
      <w:pPr>
        <w:widowControl/>
        <w:spacing w:line="560" w:lineRule="exact"/>
        <w:ind w:firstLine="560" w:firstLineChars="200"/>
        <w:jc w:val="center"/>
        <w:rPr>
          <w:rFonts w:ascii="仿宋_GB2312" w:hAnsi="等线" w:eastAsia="仿宋_GB2312" w:cs="宋体"/>
          <w:kern w:val="0"/>
          <w:sz w:val="28"/>
          <w:szCs w:val="28"/>
        </w:rPr>
      </w:pPr>
      <w:r>
        <w:rPr>
          <w:rFonts w:hint="eastAsia" w:ascii="仿宋_GB2312" w:hAnsi="等线" w:eastAsia="仿宋_GB2312" w:cs="宋体"/>
          <w:kern w:val="0"/>
          <w:sz w:val="28"/>
          <w:szCs w:val="28"/>
        </w:rPr>
        <w:t>表3 2</w:t>
      </w:r>
      <w:r>
        <w:rPr>
          <w:rFonts w:ascii="仿宋_GB2312" w:hAnsi="等线" w:eastAsia="仿宋_GB2312" w:cs="宋体"/>
          <w:kern w:val="0"/>
          <w:sz w:val="28"/>
          <w:szCs w:val="28"/>
        </w:rPr>
        <w:t>02</w:t>
      </w:r>
      <w:r>
        <w:rPr>
          <w:rFonts w:hint="eastAsia" w:ascii="仿宋_GB2312" w:hAnsi="等线" w:eastAsia="仿宋_GB2312" w:cs="宋体"/>
          <w:kern w:val="0"/>
          <w:sz w:val="28"/>
          <w:szCs w:val="28"/>
        </w:rPr>
        <w:t>3年2月与哈银金租关联交易明细表</w:t>
      </w:r>
    </w:p>
    <w:p>
      <w:pPr>
        <w:widowControl/>
        <w:spacing w:line="420" w:lineRule="exact"/>
        <w:ind w:firstLine="560" w:firstLineChars="200"/>
        <w:jc w:val="right"/>
        <w:rPr>
          <w:rFonts w:ascii="仿宋_GB2312" w:hAnsi="等线" w:eastAsia="仿宋_GB2312" w:cs="宋体"/>
          <w:color w:val="000000"/>
          <w:kern w:val="0"/>
          <w:sz w:val="28"/>
          <w:szCs w:val="28"/>
        </w:rPr>
      </w:pPr>
      <w:r>
        <w:rPr>
          <w:rFonts w:hint="eastAsia" w:ascii="仿宋_GB2312" w:hAnsi="等线" w:eastAsia="仿宋_GB2312" w:cs="宋体"/>
          <w:color w:val="000000"/>
          <w:kern w:val="0"/>
          <w:sz w:val="28"/>
          <w:szCs w:val="28"/>
        </w:rPr>
        <w:t>单位：万元</w:t>
      </w:r>
    </w:p>
    <w:tbl>
      <w:tblPr>
        <w:tblStyle w:val="9"/>
        <w:tblW w:w="8888" w:type="dxa"/>
        <w:jc w:val="center"/>
        <w:tblInd w:w="0" w:type="dxa"/>
        <w:tblLayout w:type="fixed"/>
        <w:tblCellMar>
          <w:top w:w="0" w:type="dxa"/>
          <w:left w:w="108" w:type="dxa"/>
          <w:bottom w:w="0" w:type="dxa"/>
          <w:right w:w="108" w:type="dxa"/>
        </w:tblCellMar>
      </w:tblPr>
      <w:tblGrid>
        <w:gridCol w:w="1840"/>
        <w:gridCol w:w="1845"/>
        <w:gridCol w:w="1948"/>
        <w:gridCol w:w="1620"/>
        <w:gridCol w:w="1635"/>
      </w:tblGrid>
      <w:tr>
        <w:tblPrEx>
          <w:tblLayout w:type="fixed"/>
          <w:tblCellMar>
            <w:top w:w="0" w:type="dxa"/>
            <w:left w:w="108" w:type="dxa"/>
            <w:bottom w:w="0" w:type="dxa"/>
            <w:right w:w="108" w:type="dxa"/>
          </w:tblCellMar>
        </w:tblPrEx>
        <w:trPr>
          <w:trHeight w:val="465" w:hRule="exact"/>
          <w:jc w:val="center"/>
        </w:trPr>
        <w:tc>
          <w:tcPr>
            <w:tcW w:w="1840" w:type="dxa"/>
            <w:tcBorders>
              <w:top w:val="single" w:color="000000" w:sz="4" w:space="0"/>
              <w:left w:val="single" w:color="000000" w:sz="4" w:space="0"/>
              <w:bottom w:val="nil"/>
              <w:right w:val="single" w:color="000000" w:sz="4" w:space="0"/>
            </w:tcBorders>
            <w:shd w:val="clear" w:color="auto" w:fill="BEBEBE"/>
            <w:vAlign w:val="center"/>
          </w:tcPr>
          <w:p>
            <w:pPr>
              <w:widowControl/>
              <w:ind w:firstLine="0" w:firstLineChars="0"/>
              <w:jc w:val="center"/>
              <w:textAlignment w:val="center"/>
              <w:rPr>
                <w:rFonts w:ascii="Times New Roman" w:hAnsi="Times New Roman"/>
                <w:b/>
                <w:bCs/>
                <w:color w:val="000000"/>
                <w:szCs w:val="21"/>
              </w:rPr>
            </w:pPr>
            <w:r>
              <w:rPr>
                <w:rFonts w:ascii="Times New Roman" w:hAnsi="Times New Roman" w:eastAsia="仿宋_GB2312"/>
                <w:b/>
                <w:bCs/>
                <w:color w:val="000000"/>
                <w:kern w:val="0"/>
                <w:szCs w:val="21"/>
                <w:lang w:bidi="ar"/>
              </w:rPr>
              <w:t>业务起始日期</w:t>
            </w:r>
          </w:p>
        </w:tc>
        <w:tc>
          <w:tcPr>
            <w:tcW w:w="1845" w:type="dxa"/>
            <w:tcBorders>
              <w:top w:val="single" w:color="000000" w:sz="4" w:space="0"/>
              <w:left w:val="single" w:color="000000" w:sz="4" w:space="0"/>
              <w:bottom w:val="nil"/>
              <w:right w:val="single" w:color="000000" w:sz="4" w:space="0"/>
            </w:tcBorders>
            <w:shd w:val="clear" w:color="auto" w:fill="BEBEBE"/>
            <w:vAlign w:val="center"/>
          </w:tcPr>
          <w:p>
            <w:pPr>
              <w:widowControl/>
              <w:ind w:firstLine="0" w:firstLineChars="0"/>
              <w:jc w:val="center"/>
              <w:textAlignment w:val="center"/>
              <w:rPr>
                <w:rFonts w:ascii="Times New Roman" w:hAnsi="Times New Roman"/>
                <w:b/>
                <w:bCs/>
                <w:color w:val="000000"/>
                <w:szCs w:val="21"/>
              </w:rPr>
            </w:pPr>
            <w:r>
              <w:rPr>
                <w:rFonts w:ascii="Times New Roman" w:hAnsi="Times New Roman" w:eastAsia="仿宋_GB2312"/>
                <w:b/>
                <w:bCs/>
                <w:color w:val="000000"/>
                <w:kern w:val="0"/>
                <w:szCs w:val="21"/>
                <w:lang w:bidi="ar"/>
              </w:rPr>
              <w:t>业务终止日期</w:t>
            </w:r>
          </w:p>
        </w:tc>
        <w:tc>
          <w:tcPr>
            <w:tcW w:w="1948" w:type="dxa"/>
            <w:tcBorders>
              <w:top w:val="single" w:color="000000" w:sz="4" w:space="0"/>
              <w:left w:val="single" w:color="000000" w:sz="4" w:space="0"/>
              <w:bottom w:val="nil"/>
              <w:right w:val="single" w:color="000000" w:sz="4" w:space="0"/>
            </w:tcBorders>
            <w:shd w:val="clear" w:color="auto" w:fill="BEBEBE"/>
            <w:vAlign w:val="center"/>
          </w:tcPr>
          <w:p>
            <w:pPr>
              <w:widowControl/>
              <w:ind w:firstLine="0" w:firstLineChars="0"/>
              <w:jc w:val="center"/>
              <w:textAlignment w:val="center"/>
              <w:rPr>
                <w:rFonts w:ascii="Times New Roman" w:hAnsi="Times New Roman"/>
                <w:b/>
                <w:bCs/>
                <w:color w:val="000000"/>
                <w:szCs w:val="21"/>
              </w:rPr>
            </w:pPr>
            <w:r>
              <w:rPr>
                <w:rFonts w:ascii="Times New Roman" w:hAnsi="Times New Roman" w:eastAsia="仿宋_GB2312"/>
                <w:b/>
                <w:bCs/>
                <w:color w:val="000000"/>
                <w:kern w:val="0"/>
                <w:szCs w:val="21"/>
                <w:lang w:bidi="ar"/>
              </w:rPr>
              <w:t>资金用途</w:t>
            </w:r>
          </w:p>
        </w:tc>
        <w:tc>
          <w:tcPr>
            <w:tcW w:w="1620" w:type="dxa"/>
            <w:tcBorders>
              <w:top w:val="single" w:color="000000" w:sz="4" w:space="0"/>
              <w:left w:val="single" w:color="000000" w:sz="4" w:space="0"/>
              <w:bottom w:val="nil"/>
              <w:right w:val="single" w:color="000000" w:sz="4" w:space="0"/>
            </w:tcBorders>
            <w:shd w:val="clear" w:color="auto" w:fill="BEBEBE"/>
            <w:vAlign w:val="center"/>
          </w:tcPr>
          <w:p>
            <w:pPr>
              <w:widowControl/>
              <w:jc w:val="center"/>
              <w:textAlignment w:val="center"/>
              <w:rPr>
                <w:rFonts w:ascii="Times New Roman" w:hAnsi="Times New Roman"/>
                <w:b/>
                <w:bCs/>
                <w:color w:val="000000"/>
                <w:szCs w:val="21"/>
              </w:rPr>
            </w:pPr>
            <w:r>
              <w:rPr>
                <w:rFonts w:ascii="Times New Roman" w:hAnsi="Times New Roman" w:eastAsia="仿宋_GB2312"/>
                <w:b/>
                <w:bCs/>
                <w:color w:val="000000"/>
                <w:kern w:val="0"/>
                <w:szCs w:val="21"/>
                <w:lang w:bidi="ar"/>
              </w:rPr>
              <w:t>本笔用信金额</w:t>
            </w:r>
          </w:p>
        </w:tc>
        <w:tc>
          <w:tcPr>
            <w:tcW w:w="1635" w:type="dxa"/>
            <w:tcBorders>
              <w:top w:val="single" w:color="000000" w:sz="4" w:space="0"/>
              <w:left w:val="single" w:color="000000" w:sz="4" w:space="0"/>
              <w:bottom w:val="single" w:color="000000" w:sz="4" w:space="0"/>
              <w:right w:val="single" w:color="000000" w:sz="4" w:space="0"/>
            </w:tcBorders>
            <w:shd w:val="clear" w:color="auto" w:fill="BEBEBE"/>
            <w:vAlign w:val="center"/>
          </w:tcPr>
          <w:p>
            <w:pPr>
              <w:widowControl/>
              <w:ind w:firstLine="0" w:firstLineChars="0"/>
              <w:jc w:val="center"/>
              <w:textAlignment w:val="center"/>
              <w:rPr>
                <w:rFonts w:ascii="Times New Roman" w:hAnsi="Times New Roman"/>
                <w:b/>
                <w:bCs/>
                <w:color w:val="000000"/>
                <w:szCs w:val="21"/>
              </w:rPr>
            </w:pPr>
            <w:r>
              <w:rPr>
                <w:rFonts w:ascii="Times New Roman" w:hAnsi="Times New Roman" w:eastAsia="仿宋_GB2312"/>
                <w:b/>
                <w:bCs/>
                <w:color w:val="000000"/>
                <w:kern w:val="0"/>
                <w:szCs w:val="21"/>
                <w:lang w:bidi="ar"/>
              </w:rPr>
              <w:t>占比</w:t>
            </w:r>
          </w:p>
        </w:tc>
      </w:tr>
      <w:tr>
        <w:tblPrEx>
          <w:tblLayout w:type="fixed"/>
          <w:tblCellMar>
            <w:top w:w="0" w:type="dxa"/>
            <w:left w:w="108" w:type="dxa"/>
            <w:bottom w:w="0" w:type="dxa"/>
            <w:right w:w="108" w:type="dxa"/>
          </w:tblCellMar>
        </w:tblPrEx>
        <w:trPr>
          <w:trHeight w:val="465" w:hRule="exact"/>
          <w:jc w:val="center"/>
        </w:trPr>
        <w:tc>
          <w:tcPr>
            <w:tcW w:w="1840"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eastAsia="仿宋_GB2312"/>
                <w:color w:val="000000"/>
                <w:szCs w:val="21"/>
              </w:rPr>
            </w:pPr>
            <w:r>
              <w:rPr>
                <w:rFonts w:ascii="Times New Roman" w:hAnsi="Times New Roman" w:eastAsia="仿宋_GB2312"/>
                <w:color w:val="000000"/>
                <w:kern w:val="0"/>
                <w:szCs w:val="21"/>
                <w:lang w:bidi="ar"/>
              </w:rPr>
              <w:t>2023/2/21</w:t>
            </w:r>
          </w:p>
        </w:tc>
        <w:tc>
          <w:tcPr>
            <w:tcW w:w="184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eastAsia="仿宋_GB2312"/>
                <w:color w:val="000000"/>
                <w:szCs w:val="21"/>
              </w:rPr>
            </w:pPr>
            <w:r>
              <w:rPr>
                <w:rFonts w:ascii="Times New Roman" w:hAnsi="Times New Roman" w:eastAsia="仿宋_GB2312"/>
                <w:color w:val="000000"/>
                <w:kern w:val="0"/>
                <w:szCs w:val="21"/>
                <w:lang w:bidi="ar"/>
              </w:rPr>
              <w:t>2023/8/21</w:t>
            </w:r>
          </w:p>
        </w:tc>
        <w:tc>
          <w:tcPr>
            <w:tcW w:w="1948"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szCs w:val="21"/>
              </w:rPr>
            </w:pPr>
            <w:r>
              <w:rPr>
                <w:rFonts w:ascii="Times New Roman" w:hAnsi="Times New Roman" w:eastAsia="仿宋_GB2312"/>
                <w:color w:val="000000"/>
                <w:kern w:val="0"/>
                <w:szCs w:val="21"/>
                <w:lang w:bidi="ar"/>
              </w:rPr>
              <w:t>子公司借款</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szCs w:val="21"/>
              </w:rPr>
            </w:pPr>
            <w:r>
              <w:rPr>
                <w:rFonts w:ascii="Times New Roman" w:hAnsi="Times New Roman" w:eastAsia="仿宋_GB2312"/>
                <w:color w:val="000000"/>
                <w:kern w:val="0"/>
                <w:szCs w:val="21"/>
                <w:lang w:bidi="ar"/>
              </w:rPr>
              <w:t>100,000.00</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szCs w:val="21"/>
              </w:rPr>
            </w:pPr>
            <w:r>
              <w:rPr>
                <w:rFonts w:ascii="Times New Roman" w:hAnsi="Times New Roman" w:eastAsia="仿宋_GB2312"/>
                <w:color w:val="000000"/>
                <w:kern w:val="0"/>
                <w:szCs w:val="21"/>
                <w:lang w:bidi="ar"/>
              </w:rPr>
              <w:t>1.67%</w:t>
            </w:r>
          </w:p>
        </w:tc>
      </w:tr>
      <w:tr>
        <w:tblPrEx>
          <w:tblLayout w:type="fixed"/>
          <w:tblCellMar>
            <w:top w:w="0" w:type="dxa"/>
            <w:left w:w="108" w:type="dxa"/>
            <w:bottom w:w="0" w:type="dxa"/>
            <w:right w:w="108" w:type="dxa"/>
          </w:tblCellMar>
        </w:tblPrEx>
        <w:trPr>
          <w:trHeight w:val="465" w:hRule="exact"/>
          <w:jc w:val="center"/>
        </w:trPr>
        <w:tc>
          <w:tcPr>
            <w:tcW w:w="1840"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2023/2/21</w:t>
            </w:r>
          </w:p>
        </w:tc>
        <w:tc>
          <w:tcPr>
            <w:tcW w:w="184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2024/2/21</w:t>
            </w:r>
          </w:p>
        </w:tc>
        <w:tc>
          <w:tcPr>
            <w:tcW w:w="1948"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子公司借款</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100,000.00</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1.67%</w:t>
            </w:r>
          </w:p>
        </w:tc>
      </w:tr>
      <w:tr>
        <w:tblPrEx>
          <w:tblLayout w:type="fixed"/>
          <w:tblCellMar>
            <w:top w:w="0" w:type="dxa"/>
            <w:left w:w="108" w:type="dxa"/>
            <w:bottom w:w="0" w:type="dxa"/>
            <w:right w:w="108" w:type="dxa"/>
          </w:tblCellMar>
        </w:tblPrEx>
        <w:trPr>
          <w:trHeight w:val="465" w:hRule="exact"/>
          <w:jc w:val="center"/>
        </w:trPr>
        <w:tc>
          <w:tcPr>
            <w:tcW w:w="1840"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2023/2/22</w:t>
            </w:r>
          </w:p>
        </w:tc>
        <w:tc>
          <w:tcPr>
            <w:tcW w:w="184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2023/8/22</w:t>
            </w:r>
          </w:p>
        </w:tc>
        <w:tc>
          <w:tcPr>
            <w:tcW w:w="1948"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子公司借款</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100,000.00</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1.67%</w:t>
            </w:r>
          </w:p>
        </w:tc>
      </w:tr>
      <w:tr>
        <w:tblPrEx>
          <w:tblLayout w:type="fixed"/>
          <w:tblCellMar>
            <w:top w:w="0" w:type="dxa"/>
            <w:left w:w="108" w:type="dxa"/>
            <w:bottom w:w="0" w:type="dxa"/>
            <w:right w:w="108" w:type="dxa"/>
          </w:tblCellMar>
        </w:tblPrEx>
        <w:trPr>
          <w:trHeight w:val="465" w:hRule="exact"/>
          <w:jc w:val="center"/>
        </w:trPr>
        <w:tc>
          <w:tcPr>
            <w:tcW w:w="1840"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2023/2/22</w:t>
            </w:r>
          </w:p>
        </w:tc>
        <w:tc>
          <w:tcPr>
            <w:tcW w:w="184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2024/2/22</w:t>
            </w:r>
          </w:p>
        </w:tc>
        <w:tc>
          <w:tcPr>
            <w:tcW w:w="1948"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子公司借款</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100,000.00</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1.67%</w:t>
            </w:r>
          </w:p>
        </w:tc>
      </w:tr>
      <w:tr>
        <w:tblPrEx>
          <w:tblLayout w:type="fixed"/>
          <w:tblCellMar>
            <w:top w:w="0" w:type="dxa"/>
            <w:left w:w="108" w:type="dxa"/>
            <w:bottom w:w="0" w:type="dxa"/>
            <w:right w:w="108" w:type="dxa"/>
          </w:tblCellMar>
        </w:tblPrEx>
        <w:trPr>
          <w:trHeight w:val="465" w:hRule="exact"/>
          <w:jc w:val="center"/>
        </w:trPr>
        <w:tc>
          <w:tcPr>
            <w:tcW w:w="1840"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2023/2/23</w:t>
            </w:r>
          </w:p>
        </w:tc>
        <w:tc>
          <w:tcPr>
            <w:tcW w:w="184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2023/8/23</w:t>
            </w:r>
          </w:p>
        </w:tc>
        <w:tc>
          <w:tcPr>
            <w:tcW w:w="1948"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子公司借款</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100,000.00</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1.67%</w:t>
            </w:r>
          </w:p>
        </w:tc>
      </w:tr>
      <w:tr>
        <w:tblPrEx>
          <w:tblLayout w:type="fixed"/>
          <w:tblCellMar>
            <w:top w:w="0" w:type="dxa"/>
            <w:left w:w="108" w:type="dxa"/>
            <w:bottom w:w="0" w:type="dxa"/>
            <w:right w:w="108" w:type="dxa"/>
          </w:tblCellMar>
        </w:tblPrEx>
        <w:trPr>
          <w:trHeight w:val="465" w:hRule="exact"/>
          <w:jc w:val="center"/>
        </w:trPr>
        <w:tc>
          <w:tcPr>
            <w:tcW w:w="1840"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2023/2/23</w:t>
            </w:r>
          </w:p>
        </w:tc>
        <w:tc>
          <w:tcPr>
            <w:tcW w:w="184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2023/2/23</w:t>
            </w:r>
          </w:p>
        </w:tc>
        <w:tc>
          <w:tcPr>
            <w:tcW w:w="1948"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子公司借款</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100,000.00</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1.67%</w:t>
            </w:r>
          </w:p>
        </w:tc>
      </w:tr>
      <w:tr>
        <w:tblPrEx>
          <w:tblLayout w:type="fixed"/>
          <w:tblCellMar>
            <w:top w:w="0" w:type="dxa"/>
            <w:left w:w="108" w:type="dxa"/>
            <w:bottom w:w="0" w:type="dxa"/>
            <w:right w:w="108" w:type="dxa"/>
          </w:tblCellMar>
        </w:tblPrEx>
        <w:trPr>
          <w:trHeight w:val="465" w:hRule="exact"/>
          <w:jc w:val="center"/>
        </w:trPr>
        <w:tc>
          <w:tcPr>
            <w:tcW w:w="1840"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总计</w:t>
            </w:r>
          </w:p>
        </w:tc>
        <w:tc>
          <w:tcPr>
            <w:tcW w:w="184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rPr>
                <w:rFonts w:ascii="Times New Roman" w:hAnsi="Times New Roman"/>
                <w:color w:val="000000"/>
                <w:kern w:val="0"/>
                <w:szCs w:val="21"/>
                <w:lang w:bidi="ar"/>
              </w:rPr>
            </w:pPr>
          </w:p>
        </w:tc>
        <w:tc>
          <w:tcPr>
            <w:tcW w:w="1948"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rPr>
                <w:rFonts w:ascii="Times New Roman" w:hAnsi="Times New Roman"/>
                <w:color w:val="000000"/>
                <w:kern w:val="0"/>
                <w:szCs w:val="21"/>
                <w:lang w:bidi="ar"/>
              </w:rPr>
            </w:pP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color w:val="000000"/>
                <w:kern w:val="0"/>
                <w:szCs w:val="21"/>
                <w:lang w:bidi="ar"/>
              </w:rPr>
            </w:pPr>
            <w:r>
              <w:rPr>
                <w:rFonts w:ascii="Times New Roman" w:hAnsi="Times New Roman" w:eastAsia="仿宋_GB2312"/>
                <w:color w:val="000000"/>
                <w:szCs w:val="21"/>
              </w:rPr>
              <w:t>600,000.00</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ind w:firstLine="0" w:firstLineChars="0"/>
              <w:jc w:val="center"/>
              <w:textAlignment w:val="center"/>
              <w:rPr>
                <w:rFonts w:ascii="Times New Roman" w:hAnsi="Times New Roman"/>
                <w:color w:val="000000"/>
                <w:kern w:val="0"/>
                <w:szCs w:val="21"/>
                <w:lang w:bidi="ar"/>
              </w:rPr>
            </w:pPr>
            <w:r>
              <w:rPr>
                <w:rFonts w:ascii="Times New Roman" w:hAnsi="Times New Roman" w:eastAsia="仿宋_GB2312"/>
                <w:color w:val="000000"/>
                <w:kern w:val="0"/>
                <w:szCs w:val="21"/>
                <w:lang w:bidi="ar"/>
              </w:rPr>
              <w:t>10%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2023年1月至2023年2月期间</w:t>
      </w:r>
      <w:r>
        <w:rPr>
          <w:rFonts w:hint="eastAsia" w:ascii="仿宋_GB2312" w:hAnsi="仿宋_GB2312" w:eastAsia="仿宋_GB2312" w:cs="仿宋_GB2312"/>
          <w:sz w:val="32"/>
          <w:szCs w:val="32"/>
        </w:rPr>
        <w:t>，本公司与哈银消金共发生3笔服务类关联交易，具体情况如下：</w:t>
      </w:r>
    </w:p>
    <w:p>
      <w:pPr>
        <w:ind w:firstLine="560" w:firstLineChars="200"/>
        <w:jc w:val="center"/>
        <w:rPr>
          <w:rFonts w:ascii="仿宋_GB2312" w:hAnsi="仿宋_GB2312" w:eastAsia="仿宋_GB2312" w:cs="仿宋_GB2312"/>
          <w:sz w:val="32"/>
          <w:szCs w:val="32"/>
        </w:rPr>
      </w:pPr>
      <w:r>
        <w:rPr>
          <w:rFonts w:ascii="仿宋_GB2312" w:hAnsi="等线" w:eastAsia="仿宋_GB2312" w:cs="宋体"/>
          <w:kern w:val="0"/>
          <w:sz w:val="28"/>
          <w:szCs w:val="28"/>
        </w:rPr>
        <w:t>表4 本公司与哈银消金发生服务类关联交易明细表</w:t>
      </w:r>
    </w:p>
    <w:tbl>
      <w:tblPr>
        <w:tblStyle w:val="9"/>
        <w:tblW w:w="568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40" w:type="dxa"/>
            <w:vAlign w:val="center"/>
          </w:tcPr>
          <w:p>
            <w:pPr>
              <w:jc w:val="center"/>
              <w:rPr>
                <w:rFonts w:ascii="Times New Roman" w:hAnsi="Times New Roman" w:eastAsia="仿宋_GB2312"/>
                <w:b/>
                <w:bCs/>
                <w:szCs w:val="21"/>
              </w:rPr>
            </w:pPr>
            <w:r>
              <w:rPr>
                <w:rFonts w:ascii="Times New Roman" w:hAnsi="Times New Roman" w:eastAsia="仿宋_GB2312"/>
                <w:b/>
                <w:bCs/>
                <w:szCs w:val="21"/>
              </w:rPr>
              <w:t>发生日期</w:t>
            </w:r>
          </w:p>
        </w:tc>
        <w:tc>
          <w:tcPr>
            <w:tcW w:w="2841" w:type="dxa"/>
            <w:vAlign w:val="center"/>
          </w:tcPr>
          <w:p>
            <w:pPr>
              <w:jc w:val="center"/>
              <w:rPr>
                <w:rFonts w:ascii="Times New Roman" w:hAnsi="Times New Roman" w:eastAsia="仿宋_GB2312"/>
                <w:b/>
                <w:bCs/>
                <w:szCs w:val="21"/>
              </w:rPr>
            </w:pPr>
            <w:r>
              <w:rPr>
                <w:rFonts w:ascii="Times New Roman" w:hAnsi="Times New Roman" w:eastAsia="仿宋_GB2312"/>
                <w:b/>
                <w:bCs/>
                <w:szCs w:val="21"/>
              </w:rPr>
              <w:t>交易金额（万元）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40" w:type="dxa"/>
            <w:vAlign w:val="center"/>
          </w:tcPr>
          <w:p>
            <w:pPr>
              <w:jc w:val="center"/>
              <w:rPr>
                <w:rFonts w:ascii="Times New Roman" w:hAnsi="Times New Roman" w:eastAsia="仿宋_GB2312"/>
                <w:szCs w:val="21"/>
              </w:rPr>
            </w:pPr>
            <w:r>
              <w:rPr>
                <w:rFonts w:ascii="Times New Roman" w:hAnsi="Times New Roman" w:eastAsia="仿宋_GB2312"/>
                <w:szCs w:val="21"/>
              </w:rPr>
              <w:t>1月16日</w:t>
            </w:r>
          </w:p>
        </w:tc>
        <w:tc>
          <w:tcPr>
            <w:tcW w:w="2841" w:type="dxa"/>
            <w:vAlign w:val="center"/>
          </w:tcPr>
          <w:p>
            <w:pPr>
              <w:jc w:val="center"/>
              <w:rPr>
                <w:rFonts w:ascii="Times New Roman" w:hAnsi="Times New Roman" w:eastAsia="仿宋_GB2312"/>
                <w:szCs w:val="21"/>
              </w:rPr>
            </w:pPr>
            <w:r>
              <w:rPr>
                <w:rFonts w:ascii="Times New Roman" w:hAnsi="Times New Roman" w:eastAsia="仿宋_GB2312"/>
                <w:szCs w:val="21"/>
              </w:rPr>
              <w:t>532.53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40" w:type="dxa"/>
            <w:vAlign w:val="center"/>
          </w:tcPr>
          <w:p>
            <w:pPr>
              <w:jc w:val="center"/>
              <w:rPr>
                <w:rFonts w:ascii="Times New Roman" w:hAnsi="Times New Roman" w:eastAsia="仿宋_GB2312"/>
                <w:szCs w:val="21"/>
              </w:rPr>
            </w:pPr>
            <w:r>
              <w:rPr>
                <w:rFonts w:ascii="Times New Roman" w:hAnsi="Times New Roman" w:eastAsia="仿宋_GB2312"/>
                <w:szCs w:val="21"/>
              </w:rPr>
              <w:t>2月16日</w:t>
            </w:r>
          </w:p>
        </w:tc>
        <w:tc>
          <w:tcPr>
            <w:tcW w:w="2841" w:type="dxa"/>
            <w:vAlign w:val="center"/>
          </w:tcPr>
          <w:p>
            <w:pPr>
              <w:jc w:val="center"/>
              <w:rPr>
                <w:rFonts w:ascii="Times New Roman" w:hAnsi="Times New Roman" w:eastAsia="仿宋_GB2312"/>
                <w:szCs w:val="21"/>
              </w:rPr>
            </w:pPr>
            <w:r>
              <w:rPr>
                <w:rFonts w:ascii="Times New Roman" w:hAnsi="Times New Roman" w:eastAsia="仿宋_GB2312"/>
                <w:szCs w:val="21"/>
              </w:rPr>
              <w:t>45.23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40" w:type="dxa"/>
            <w:vAlign w:val="center"/>
          </w:tcPr>
          <w:p>
            <w:pPr>
              <w:jc w:val="center"/>
              <w:rPr>
                <w:rFonts w:ascii="Times New Roman" w:hAnsi="Times New Roman" w:eastAsia="仿宋_GB2312"/>
                <w:szCs w:val="21"/>
              </w:rPr>
            </w:pPr>
            <w:r>
              <w:rPr>
                <w:rFonts w:ascii="Times New Roman" w:hAnsi="Times New Roman" w:eastAsia="仿宋_GB2312"/>
                <w:szCs w:val="21"/>
              </w:rPr>
              <w:t>2月27日</w:t>
            </w:r>
          </w:p>
        </w:tc>
        <w:tc>
          <w:tcPr>
            <w:tcW w:w="2841" w:type="dxa"/>
            <w:vAlign w:val="center"/>
          </w:tcPr>
          <w:p>
            <w:pPr>
              <w:jc w:val="center"/>
              <w:rPr>
                <w:rFonts w:ascii="Times New Roman" w:hAnsi="Times New Roman" w:eastAsia="仿宋_GB2312"/>
                <w:szCs w:val="21"/>
              </w:rPr>
            </w:pPr>
            <w:r>
              <w:rPr>
                <w:rFonts w:ascii="Times New Roman" w:hAnsi="Times New Roman" w:eastAsia="仿宋_GB2312"/>
                <w:szCs w:val="21"/>
              </w:rPr>
              <w:t>638.86</w:t>
            </w:r>
          </w:p>
        </w:tc>
      </w:tr>
    </w:tbl>
    <w:p>
      <w:pPr>
        <w:rPr>
          <w:rFonts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黑体" w:hAnsi="黑体" w:eastAsia="黑体" w:cs="黑体"/>
          <w:sz w:val="32"/>
          <w:szCs w:val="32"/>
        </w:rPr>
      </w:pPr>
      <w:r>
        <w:rPr>
          <w:rFonts w:hint="eastAsia" w:ascii="黑体" w:hAnsi="黑体" w:eastAsia="黑体" w:cs="黑体"/>
          <w:sz w:val="32"/>
          <w:szCs w:val="32"/>
        </w:rPr>
        <w:t>五、内部决议情况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宋体" w:eastAsia="仿宋_GB2312" w:cs="宋体"/>
          <w:sz w:val="32"/>
          <w:szCs w:val="32"/>
        </w:rPr>
        <w:t>针对哈银消金、哈银金租授信类关联交易情况的授信，《关于2022年度日常关联交易预计额度的的议案》于2022年3月29日通过董事会风险委2022年第三次会议、3月31日通过董事会八届九次会议的审议。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黑体" w:hAnsi="黑体" w:eastAsia="黑体" w:cs="黑体"/>
          <w:sz w:val="32"/>
          <w:szCs w:val="32"/>
        </w:rPr>
      </w:pPr>
      <w:r>
        <w:rPr>
          <w:rFonts w:hint="eastAsia" w:ascii="仿宋_GB2312" w:hAnsi="仿宋_GB2312" w:eastAsia="仿宋_GB2312" w:cs="仿宋_GB2312"/>
          <w:sz w:val="32"/>
          <w:szCs w:val="32"/>
        </w:rPr>
        <w:t>针对与哈银消金服务类关联交易，《关于备案哈尔滨银行与哈尔滨哈银消费金融有限责任公司关联交易的议案》于2022年8月27日通过董事会风险管理及关联交易控制委员会2022年第八次会议、8月30日通过董事会八届十二次会议的审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黑体" w:hAnsi="黑体" w:eastAsia="黑体" w:cs="黑体"/>
          <w:sz w:val="32"/>
          <w:szCs w:val="32"/>
        </w:rPr>
      </w:pPr>
      <w:r>
        <w:rPr>
          <w:rFonts w:hint="eastAsia" w:ascii="黑体" w:hAnsi="黑体" w:eastAsia="黑体" w:cs="黑体"/>
          <w:sz w:val="32"/>
          <w:szCs w:val="32"/>
        </w:rPr>
        <w:t>六、独立董事意见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本次披露的关联交易已获得独立董事事前认可。此外，本公司独立董事对上述关联交易发表意见如下：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sz w:val="32"/>
          <w:szCs w:val="32"/>
        </w:rPr>
      </w:pPr>
      <w:r>
        <w:rPr>
          <w:rFonts w:hint="eastAsia" w:ascii="仿宋_GB2312" w:hAnsi="黑体" w:eastAsia="仿宋_GB2312" w:cs="宋体"/>
          <w:sz w:val="32"/>
          <w:szCs w:val="32"/>
        </w:rPr>
        <w:t>“上述关联交易议案为哈尔滨银行</w:t>
      </w:r>
      <w:r>
        <w:rPr>
          <w:rFonts w:hint="eastAsia" w:ascii="仿宋_GB2312" w:hAnsi="宋体" w:eastAsia="仿宋_GB2312" w:cs="宋体"/>
          <w:sz w:val="32"/>
          <w:szCs w:val="32"/>
        </w:rPr>
        <w:t>股份有限公司</w:t>
      </w:r>
      <w:r>
        <w:rPr>
          <w:rFonts w:hint="eastAsia" w:ascii="仿宋_GB2312" w:hAnsi="黑体" w:eastAsia="仿宋_GB2312" w:cs="宋体"/>
          <w:sz w:val="32"/>
          <w:szCs w:val="32"/>
        </w:rPr>
        <w:t>正常经营范围内发生的常规业务，遵循市场化定价原则，以不优于对非关联方同类交易的条件进行，符合关联交易管理要求的公允性原则，不影响哈尔滨银行</w:t>
      </w:r>
      <w:r>
        <w:rPr>
          <w:rFonts w:hint="eastAsia" w:ascii="仿宋_GB2312" w:hAnsi="宋体" w:eastAsia="仿宋_GB2312" w:cs="宋体"/>
          <w:sz w:val="32"/>
          <w:szCs w:val="32"/>
        </w:rPr>
        <w:t>股份有限公司</w:t>
      </w:r>
      <w:r>
        <w:rPr>
          <w:rFonts w:hint="eastAsia" w:ascii="仿宋_GB2312" w:hAnsi="黑体" w:eastAsia="仿宋_GB2312" w:cs="宋体"/>
          <w:sz w:val="32"/>
          <w:szCs w:val="32"/>
        </w:rPr>
        <w:t>独立性，不会对哈尔滨银行</w:t>
      </w:r>
      <w:r>
        <w:rPr>
          <w:rFonts w:hint="eastAsia" w:ascii="仿宋_GB2312" w:hAnsi="宋体" w:eastAsia="仿宋_GB2312" w:cs="宋体"/>
          <w:sz w:val="32"/>
          <w:szCs w:val="32"/>
        </w:rPr>
        <w:t>股份有限公司</w:t>
      </w:r>
      <w:r>
        <w:rPr>
          <w:rFonts w:hint="eastAsia" w:ascii="仿宋_GB2312" w:hAnsi="黑体" w:eastAsia="仿宋_GB2312" w:cs="宋体"/>
          <w:sz w:val="32"/>
          <w:szCs w:val="32"/>
        </w:rPr>
        <w:t>的持续性经营能力、盈利能力及资产状况构成不利影响，不存在损害中小投资者合法权益的情形。本次重大关联交易议案的表决程序合法，符合有关法律、法规和公司章程的规定。”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黑体" w:hAnsi="黑体" w:eastAsia="黑体" w:cs="黑体"/>
          <w:sz w:val="32"/>
          <w:szCs w:val="32"/>
        </w:rPr>
      </w:pPr>
      <w:r>
        <w:rPr>
          <w:rFonts w:hint="eastAsia" w:ascii="黑体" w:hAnsi="黑体" w:eastAsia="黑体" w:cs="黑体"/>
          <w:sz w:val="32"/>
          <w:szCs w:val="32"/>
        </w:rPr>
        <w:t>七、备查文件目录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1．董事会八届九次、八届十二次会议决议；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2．经独立董事签字确认的独立意见。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特此</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哈尔滨银行股份有限公司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2023年4月</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日</w:t>
      </w:r>
    </w:p>
    <w:sectPr>
      <w:footerReference r:id="rId3" w:type="default"/>
      <w:pgSz w:w="11906" w:h="16838"/>
      <w:pgMar w:top="2098" w:right="1417" w:bottom="198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C88"/>
    <w:rsid w:val="00067CB7"/>
    <w:rsid w:val="00395E3C"/>
    <w:rsid w:val="003C37B7"/>
    <w:rsid w:val="004821C1"/>
    <w:rsid w:val="0053438D"/>
    <w:rsid w:val="00566074"/>
    <w:rsid w:val="005A4468"/>
    <w:rsid w:val="005C6C88"/>
    <w:rsid w:val="0068695B"/>
    <w:rsid w:val="006975A3"/>
    <w:rsid w:val="006F416C"/>
    <w:rsid w:val="009150D1"/>
    <w:rsid w:val="00A25E72"/>
    <w:rsid w:val="00B57F5A"/>
    <w:rsid w:val="00CB319A"/>
    <w:rsid w:val="00D82A3D"/>
    <w:rsid w:val="00E3791A"/>
    <w:rsid w:val="018F12F8"/>
    <w:rsid w:val="0A594BDF"/>
    <w:rsid w:val="0DBF5307"/>
    <w:rsid w:val="1032517A"/>
    <w:rsid w:val="10FA3045"/>
    <w:rsid w:val="11C87A0C"/>
    <w:rsid w:val="15677CA4"/>
    <w:rsid w:val="18363569"/>
    <w:rsid w:val="19740F99"/>
    <w:rsid w:val="1A2A788C"/>
    <w:rsid w:val="1A466E63"/>
    <w:rsid w:val="22BD2D98"/>
    <w:rsid w:val="25C87769"/>
    <w:rsid w:val="26A6158A"/>
    <w:rsid w:val="2AE6043B"/>
    <w:rsid w:val="2C2219DA"/>
    <w:rsid w:val="2EEB35A9"/>
    <w:rsid w:val="2F8673E2"/>
    <w:rsid w:val="3412316F"/>
    <w:rsid w:val="36956502"/>
    <w:rsid w:val="3700082F"/>
    <w:rsid w:val="39B3037B"/>
    <w:rsid w:val="3EAB0813"/>
    <w:rsid w:val="43CA5A0A"/>
    <w:rsid w:val="45F5323E"/>
    <w:rsid w:val="46D133D1"/>
    <w:rsid w:val="47F426C9"/>
    <w:rsid w:val="487141FF"/>
    <w:rsid w:val="491B44B0"/>
    <w:rsid w:val="5162187E"/>
    <w:rsid w:val="52890A97"/>
    <w:rsid w:val="57533BAF"/>
    <w:rsid w:val="59EF50DD"/>
    <w:rsid w:val="5C5A0211"/>
    <w:rsid w:val="652D57E4"/>
    <w:rsid w:val="67213134"/>
    <w:rsid w:val="68925D76"/>
    <w:rsid w:val="6BF85CD3"/>
    <w:rsid w:val="6F7EA409"/>
    <w:rsid w:val="706D3B06"/>
    <w:rsid w:val="751E2567"/>
    <w:rsid w:val="76175D6B"/>
    <w:rsid w:val="7CC12938"/>
    <w:rsid w:val="7CF709E3"/>
    <w:rsid w:val="7D0E39BD"/>
    <w:rsid w:val="7EE140BD"/>
    <w:rsid w:val="7F5B24A6"/>
    <w:rsid w:val="7FF70709"/>
    <w:rsid w:val="95DD8D84"/>
    <w:rsid w:val="BEFEB38E"/>
    <w:rsid w:val="DDDDECFE"/>
    <w:rsid w:val="E9FDAF5C"/>
    <w:rsid w:val="EFEB463F"/>
    <w:rsid w:val="F8EFEDB0"/>
    <w:rsid w:val="FF93F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2">
    <w:name w:val="annotation subject"/>
    <w:basedOn w:val="3"/>
    <w:next w:val="3"/>
    <w:link w:val="16"/>
    <w:qFormat/>
    <w:uiPriority w:val="0"/>
    <w:rPr>
      <w:b/>
      <w:bCs/>
    </w:rPr>
  </w:style>
  <w:style w:type="paragraph" w:styleId="3">
    <w:name w:val="annotation text"/>
    <w:basedOn w:val="1"/>
    <w:link w:val="13"/>
    <w:qFormat/>
    <w:uiPriority w:val="0"/>
    <w:pPr>
      <w:jc w:val="left"/>
    </w:p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rPr>
      <w:sz w:val="24"/>
    </w:rPr>
  </w:style>
  <w:style w:type="character" w:styleId="8">
    <w:name w:val="annotation reference"/>
    <w:qFormat/>
    <w:uiPriority w:val="0"/>
    <w:rPr>
      <w:sz w:val="21"/>
      <w:szCs w:val="21"/>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Normal_6a657478-200e-45ac-8979-30b833b1e1d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
    <w:name w:val="_Style 11"/>
    <w:unhideWhenUsed/>
    <w:qFormat/>
    <w:uiPriority w:val="99"/>
    <w:rPr>
      <w:rFonts w:ascii="Calibri" w:hAnsi="Calibri" w:eastAsia="宋体" w:cs="Times New Roman"/>
      <w:kern w:val="2"/>
      <w:sz w:val="21"/>
      <w:szCs w:val="24"/>
      <w:lang w:val="en-US" w:eastAsia="zh-CN" w:bidi="ar-SA"/>
    </w:rPr>
  </w:style>
  <w:style w:type="character" w:customStyle="1" w:styleId="13">
    <w:name w:val="批注文字 字符"/>
    <w:link w:val="3"/>
    <w:qFormat/>
    <w:uiPriority w:val="0"/>
    <w:rPr>
      <w:kern w:val="2"/>
      <w:sz w:val="21"/>
      <w:szCs w:val="24"/>
    </w:rPr>
  </w:style>
  <w:style w:type="character" w:customStyle="1" w:styleId="14">
    <w:name w:val="页脚 字符"/>
    <w:link w:val="4"/>
    <w:qFormat/>
    <w:uiPriority w:val="0"/>
    <w:rPr>
      <w:kern w:val="2"/>
      <w:sz w:val="18"/>
      <w:szCs w:val="18"/>
    </w:rPr>
  </w:style>
  <w:style w:type="character" w:customStyle="1" w:styleId="15">
    <w:name w:val="页眉 字符"/>
    <w:link w:val="5"/>
    <w:qFormat/>
    <w:uiPriority w:val="0"/>
    <w:rPr>
      <w:kern w:val="2"/>
      <w:sz w:val="18"/>
      <w:szCs w:val="18"/>
    </w:rPr>
  </w:style>
  <w:style w:type="character" w:customStyle="1" w:styleId="16">
    <w:name w:val="批注主题 字符"/>
    <w:link w:val="2"/>
    <w:qFormat/>
    <w:uiPriority w:val="0"/>
    <w:rPr>
      <w:b/>
      <w:bCs/>
      <w:kern w:val="2"/>
      <w:sz w:val="21"/>
      <w:szCs w:val="24"/>
    </w:rPr>
  </w:style>
  <w:style w:type="paragraph" w:customStyle="1" w:styleId="17">
    <w:name w:val="Revision"/>
    <w:hidden/>
    <w:semiHidden/>
    <w:qFormat/>
    <w:uiPriority w:val="99"/>
    <w:rPr>
      <w:rFonts w:ascii="Calibri" w:hAnsi="Calibri" w:eastAsia="宋体" w:cs="Times New Roman"/>
      <w:kern w:val="2"/>
      <w:sz w:val="21"/>
      <w:szCs w:val="24"/>
      <w:lang w:val="en-US" w:eastAsia="zh-CN" w:bidi="ar-SA"/>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660</Words>
  <Characters>3766</Characters>
  <Lines>31</Lines>
  <Paragraphs>8</Paragraphs>
  <TotalTime>53</TotalTime>
  <ScaleCrop>false</ScaleCrop>
  <LinksUpToDate>false</LinksUpToDate>
  <CharactersWithSpaces>4418</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2023-03-27T03:31:00Z</dcterms:created>
  <dc:creator>Administrator</dc:creator>
  <cp:lastModifiedBy>JonMMx 2000</cp:lastModifiedBy>
  <cp:lastPrinted>2023-04-07T01:39:00Z</cp:lastPrinted>
  <dcterms:modified xsi:type="dcterms:W3CDTF">2023-04-07T02:12:14Z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